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8E" w:rsidRDefault="00ED598E" w:rsidP="00ED598E">
      <w:pPr>
        <w:pBdr>
          <w:bottom w:val="single" w:sz="2" w:space="1" w:color="auto" w:shadow="1"/>
        </w:pBd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2. ORIENTAMENTI E DIRETTIVE</w:t>
      </w:r>
    </w:p>
    <w:p w:rsidR="00ED598E" w:rsidRDefault="00ED598E" w:rsidP="00ED598E">
      <w:pPr>
        <w:jc w:val="both"/>
        <w:rPr>
          <w:lang w:val="it-IT"/>
        </w:rPr>
      </w:pPr>
    </w:p>
    <w:p w:rsidR="00ED598E" w:rsidRDefault="00ED598E" w:rsidP="00ED598E">
      <w:pPr>
        <w:jc w:val="both"/>
        <w:rPr>
          <w:lang w:val="it-IT"/>
        </w:rPr>
      </w:pPr>
    </w:p>
    <w:p w:rsidR="00ED598E" w:rsidRDefault="00ED598E" w:rsidP="00ED598E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2.1. Indagine preliminare: note per il procedimento</w:t>
      </w:r>
    </w:p>
    <w:p w:rsidR="00ED598E" w:rsidRDefault="00ED598E" w:rsidP="00ED598E">
      <w:pPr>
        <w:jc w:val="both"/>
        <w:rPr>
          <w:lang w:val="it-IT"/>
        </w:rPr>
      </w:pPr>
    </w:p>
    <w:p w:rsidR="00ED598E" w:rsidRPr="00BA2908" w:rsidRDefault="00ED598E" w:rsidP="00ED598E">
      <w:pPr>
        <w:jc w:val="both"/>
        <w:rPr>
          <w:color w:val="auto"/>
          <w:lang w:val="it-IT"/>
        </w:rPr>
      </w:pPr>
      <w:r w:rsidRPr="00BA2908">
        <w:rPr>
          <w:color w:val="auto"/>
          <w:lang w:val="it-IT"/>
        </w:rPr>
        <w:t>Don Francesco CER</w:t>
      </w:r>
      <w:r w:rsidR="0022654C" w:rsidRPr="00BA2908">
        <w:rPr>
          <w:color w:val="auto"/>
          <w:lang w:val="it-IT"/>
        </w:rPr>
        <w:t>E</w:t>
      </w:r>
      <w:r w:rsidRPr="00BA2908">
        <w:rPr>
          <w:color w:val="auto"/>
          <w:lang w:val="it-IT"/>
        </w:rPr>
        <w:t>DA</w:t>
      </w:r>
    </w:p>
    <w:p w:rsidR="00ED598E" w:rsidRDefault="00ED598E" w:rsidP="00ED598E">
      <w:pPr>
        <w:jc w:val="both"/>
        <w:rPr>
          <w:i/>
          <w:lang w:val="it-IT"/>
        </w:rPr>
      </w:pPr>
      <w:r>
        <w:rPr>
          <w:i/>
          <w:lang w:val="it-IT"/>
        </w:rPr>
        <w:t>Vicario del Rettor Maggiore</w:t>
      </w:r>
    </w:p>
    <w:p w:rsidR="00ED598E" w:rsidRPr="008C102C" w:rsidRDefault="00ED598E" w:rsidP="00ED598E">
      <w:pPr>
        <w:rPr>
          <w:lang w:val="it-IT"/>
        </w:rPr>
      </w:pPr>
      <w:bookmarkStart w:id="0" w:name="_GoBack"/>
      <w:bookmarkEnd w:id="0"/>
    </w:p>
    <w:p w:rsidR="00ED598E" w:rsidRPr="008C102C" w:rsidRDefault="00ED598E" w:rsidP="00ED598E">
      <w:pPr>
        <w:pStyle w:val="Didefault"/>
        <w:jc w:val="both"/>
        <w:rPr>
          <w:rFonts w:ascii="Times New Roman Bold"/>
          <w:sz w:val="24"/>
          <w:szCs w:val="24"/>
        </w:rPr>
      </w:pPr>
    </w:p>
    <w:p w:rsidR="00ED598E" w:rsidRPr="008C102C" w:rsidRDefault="00ED598E" w:rsidP="00ED598E">
      <w:pPr>
        <w:pStyle w:val="Didefault"/>
        <w:jc w:val="both"/>
        <w:rPr>
          <w:rFonts w:ascii="Times New Roman Bold"/>
          <w:sz w:val="24"/>
          <w:szCs w:val="24"/>
        </w:rPr>
      </w:pPr>
    </w:p>
    <w:p w:rsidR="001C6C60" w:rsidRPr="008C102C" w:rsidRDefault="007B1BE9" w:rsidP="008C102C">
      <w:pPr>
        <w:pStyle w:val="Didefault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8C102C">
        <w:rPr>
          <w:rFonts w:ascii="Times New Roman" w:hAnsi="Times New Roman"/>
          <w:sz w:val="24"/>
          <w:szCs w:val="24"/>
          <w:u w:color="000000"/>
        </w:rPr>
        <w:t xml:space="preserve">Con frequenza giungono al Vicario del Rettor Maggiore o all’Ufficio giuridico richieste da parte degli Ispettori </w:t>
      </w:r>
      <w:r w:rsidR="00926B63">
        <w:rPr>
          <w:rFonts w:ascii="Times New Roman" w:hAnsi="Times New Roman"/>
          <w:sz w:val="24"/>
          <w:szCs w:val="24"/>
          <w:u w:color="000000"/>
        </w:rPr>
        <w:t xml:space="preserve">o Vicari ispettoriali </w:t>
      </w:r>
      <w:r w:rsidRPr="008C102C">
        <w:rPr>
          <w:rFonts w:ascii="Times New Roman" w:hAnsi="Times New Roman"/>
          <w:sz w:val="24"/>
          <w:szCs w:val="24"/>
          <w:u w:color="000000"/>
        </w:rPr>
        <w:t>su come procedere quando perviene loro notizia della condotta di un confratello, riconducibile alla tipologia del delitto canonico (</w:t>
      </w:r>
      <w:r w:rsidRPr="008C102C">
        <w:rPr>
          <w:rFonts w:ascii="Times New Roman" w:hAnsi="Times New Roman"/>
          <w:i/>
          <w:iCs/>
          <w:sz w:val="24"/>
          <w:szCs w:val="24"/>
          <w:u w:color="000000"/>
        </w:rPr>
        <w:t>crimen</w:t>
      </w:r>
      <w:r w:rsidRPr="008C102C">
        <w:rPr>
          <w:rFonts w:ascii="Times New Roman" w:hAnsi="Times New Roman"/>
          <w:sz w:val="24"/>
          <w:szCs w:val="24"/>
          <w:u w:color="000000"/>
        </w:rPr>
        <w:t>)</w:t>
      </w:r>
      <w:r w:rsidRPr="008C102C">
        <w:rPr>
          <w:rFonts w:ascii="Times New Roman" w:eastAsia="Times New Roman" w:hAnsi="Times New Roman" w:cs="Times New Roman"/>
          <w:sz w:val="24"/>
          <w:szCs w:val="24"/>
          <w:u w:color="000000"/>
          <w:vertAlign w:val="superscript"/>
        </w:rPr>
        <w:footnoteReference w:id="2"/>
      </w:r>
      <w:r w:rsidRPr="008C102C">
        <w:rPr>
          <w:rFonts w:ascii="Times New Roman" w:hAnsi="Times New Roman"/>
          <w:sz w:val="24"/>
          <w:szCs w:val="24"/>
          <w:u w:color="000000"/>
        </w:rPr>
        <w:t>.</w:t>
      </w:r>
    </w:p>
    <w:p w:rsidR="001C6C60" w:rsidRPr="008C102C" w:rsidRDefault="001C6C60" w:rsidP="008C102C">
      <w:pPr>
        <w:pStyle w:val="Didefault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C6C60" w:rsidRPr="008C102C" w:rsidRDefault="00926B63" w:rsidP="008C102C">
      <w:pPr>
        <w:pStyle w:val="Didefaul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Questo è un buon segno; infatti s</w:t>
      </w:r>
      <w:r w:rsidR="007B1BE9" w:rsidRPr="008C102C">
        <w:rPr>
          <w:rFonts w:ascii="Times New Roman" w:hAnsi="Times New Roman"/>
          <w:sz w:val="24"/>
          <w:szCs w:val="24"/>
        </w:rPr>
        <w:t>i può constatare come si stia sempre più consolidando una prassi e un procedimento canonicamente corretto di fronte a un’accusa riguardante un confratello. Anche questo aspetto fa parte della cultura della legalità e del senso di giustizia che, come Salesiani, siamo sempre chiamati a promuovere.</w:t>
      </w:r>
      <w:r w:rsidR="00E714E4">
        <w:rPr>
          <w:rFonts w:ascii="Times New Roman" w:hAnsi="Times New Roman"/>
          <w:sz w:val="24"/>
          <w:szCs w:val="24"/>
        </w:rPr>
        <w:t xml:space="preserve"> Tale procedimento si chiama indagine preliminare; essa ha lo scopo di fare chiarezza e verità di fronte a una accusa.</w:t>
      </w:r>
    </w:p>
    <w:p w:rsidR="008C102C" w:rsidRPr="008C102C" w:rsidRDefault="008C102C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02C" w:rsidRPr="008C102C" w:rsidRDefault="008C102C" w:rsidP="008C102C">
      <w:pPr>
        <w:pStyle w:val="Didefault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8C102C">
        <w:rPr>
          <w:rFonts w:ascii="Times New Roman" w:hAnsi="Times New Roman"/>
          <w:sz w:val="24"/>
          <w:szCs w:val="24"/>
          <w:u w:color="000000"/>
        </w:rPr>
        <w:t>L’indagine preliminare prevista in questi casi, è regolata dai cann. 1717-1719 del Codice di Diritto Canonico. Essa costituisce il procedimento a cui ricorrere anche nella fase istruttoria richiesta dal can. 695 riguardante la dimissione obbligatoria di un religioso e dal can. 696 CIC riguardante la dimissione di un religioso a giudizio del Superiore</w:t>
      </w:r>
      <w:r w:rsidR="00E714E4">
        <w:rPr>
          <w:rFonts w:ascii="Times New Roman" w:hAnsi="Times New Roman"/>
          <w:sz w:val="24"/>
          <w:szCs w:val="24"/>
          <w:u w:color="000000"/>
        </w:rPr>
        <w:t>. Essa dà</w:t>
      </w:r>
      <w:r w:rsidRPr="008C102C">
        <w:rPr>
          <w:rFonts w:ascii="Times New Roman" w:hAnsi="Times New Roman"/>
          <w:sz w:val="24"/>
          <w:szCs w:val="24"/>
          <w:u w:color="000000"/>
        </w:rPr>
        <w:t xml:space="preserve"> sicurezza giuridica alle decisioni del Superiore stesso.</w:t>
      </w:r>
    </w:p>
    <w:p w:rsidR="001C6C60" w:rsidRPr="008C102C" w:rsidRDefault="001C6C60" w:rsidP="008C102C">
      <w:pPr>
        <w:pStyle w:val="DidefaultA"/>
        <w:jc w:val="both"/>
        <w:rPr>
          <w:sz w:val="24"/>
          <w:szCs w:val="24"/>
        </w:rPr>
      </w:pPr>
    </w:p>
    <w:p w:rsidR="00E714E4" w:rsidRDefault="007B1BE9" w:rsidP="00E714E4">
      <w:pPr>
        <w:pStyle w:val="DidefaultA"/>
        <w:jc w:val="both"/>
        <w:rPr>
          <w:rFonts w:ascii="Times New Roman" w:hAnsi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 xml:space="preserve">A tale scopo, è stato preparato un </w:t>
      </w:r>
      <w:r w:rsidRPr="00E714E4">
        <w:rPr>
          <w:rFonts w:ascii="Times New Roman" w:hAnsi="Times New Roman"/>
          <w:iCs/>
          <w:sz w:val="24"/>
          <w:szCs w:val="24"/>
        </w:rPr>
        <w:t>Vademecum</w:t>
      </w:r>
      <w:r w:rsidRPr="00E714E4">
        <w:rPr>
          <w:rFonts w:ascii="Times New Roman" w:hAnsi="Times New Roman"/>
          <w:sz w:val="24"/>
          <w:szCs w:val="24"/>
        </w:rPr>
        <w:t xml:space="preserve"> contenente la normativa canonica e le indicazioni per il procedimento da seguire, per qualsiasi segnalazione di una violazione esterna di una legge canonica o di un precetto muniti di pena. Le indicazioni contenute nel Vademecum sono di carattere generale</w:t>
      </w:r>
      <w:r w:rsidR="00E714E4">
        <w:rPr>
          <w:rFonts w:ascii="Times New Roman" w:hAnsi="Times New Roman"/>
          <w:sz w:val="24"/>
          <w:szCs w:val="24"/>
        </w:rPr>
        <w:t>; d</w:t>
      </w:r>
      <w:r w:rsidRPr="00E714E4">
        <w:rPr>
          <w:rFonts w:ascii="Times New Roman" w:hAnsi="Times New Roman"/>
          <w:sz w:val="24"/>
          <w:szCs w:val="24"/>
        </w:rPr>
        <w:t>ovranno essere integrate con le prescrizioni più dettagliate, eventualmente emanate dalle singole Conferenze Episcopali e nel pieno rispetto della legislazione civile di ciascun Paese.</w:t>
      </w:r>
    </w:p>
    <w:p w:rsidR="00E714E4" w:rsidRDefault="00E714E4" w:rsidP="00E714E4">
      <w:pPr>
        <w:pStyle w:val="DidefaultA"/>
        <w:jc w:val="both"/>
        <w:rPr>
          <w:rFonts w:ascii="Times New Roman" w:hAnsi="Times New Roman"/>
          <w:sz w:val="24"/>
          <w:szCs w:val="24"/>
        </w:rPr>
      </w:pPr>
    </w:p>
    <w:p w:rsidR="001C6C60" w:rsidRPr="00E714E4" w:rsidRDefault="00E714E4" w:rsidP="00E714E4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4E4">
        <w:rPr>
          <w:rFonts w:ascii="Times New Roman" w:hAnsi="Times New Roman"/>
          <w:sz w:val="24"/>
          <w:szCs w:val="24"/>
        </w:rPr>
        <w:t xml:space="preserve">Tale </w:t>
      </w:r>
      <w:r w:rsidRPr="00E714E4">
        <w:rPr>
          <w:rFonts w:ascii="Times New Roman" w:hAnsi="Times New Roman"/>
          <w:iCs/>
          <w:sz w:val="24"/>
          <w:szCs w:val="24"/>
        </w:rPr>
        <w:t>Vademecum</w:t>
      </w:r>
      <w:r w:rsidRPr="00E714E4">
        <w:rPr>
          <w:rFonts w:ascii="Times New Roman" w:hAnsi="Times New Roman"/>
          <w:sz w:val="24"/>
          <w:szCs w:val="24"/>
        </w:rPr>
        <w:t xml:space="preserve"> sarà inviato prossimamente agli Ispettori. Si riporta di seguito lo schema del documento</w:t>
      </w:r>
      <w:r>
        <w:rPr>
          <w:rFonts w:ascii="Times New Roman" w:hAnsi="Times New Roman"/>
          <w:sz w:val="24"/>
          <w:szCs w:val="24"/>
        </w:rPr>
        <w:t>, affinché ogni confratello possa essere a conoscenza del procedimento</w:t>
      </w:r>
      <w:r w:rsidRPr="00E714E4">
        <w:rPr>
          <w:rFonts w:ascii="Times New Roman" w:hAnsi="Times New Roman"/>
          <w:sz w:val="24"/>
          <w:szCs w:val="24"/>
        </w:rPr>
        <w:t>.</w:t>
      </w:r>
    </w:p>
    <w:p w:rsidR="001C6C60" w:rsidRPr="008C102C" w:rsidRDefault="001C6C60" w:rsidP="008C102C">
      <w:pPr>
        <w:pStyle w:val="Didefault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C6C60" w:rsidRPr="008C102C" w:rsidRDefault="001C6C60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02C">
        <w:rPr>
          <w:rFonts w:ascii="Times New Roman" w:hAnsi="Times New Roman"/>
          <w:b/>
          <w:bCs/>
          <w:sz w:val="24"/>
          <w:szCs w:val="24"/>
        </w:rPr>
        <w:t>1. Prima fase</w:t>
      </w:r>
      <w:r w:rsidR="00E714E4">
        <w:rPr>
          <w:rFonts w:ascii="Times New Roman" w:hAnsi="Times New Roman"/>
          <w:b/>
          <w:bCs/>
          <w:sz w:val="24"/>
          <w:szCs w:val="24"/>
        </w:rPr>
        <w:t>:</w:t>
      </w:r>
      <w:r w:rsidRPr="008C10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102C">
        <w:rPr>
          <w:rFonts w:ascii="Times New Roman" w:hAnsi="Times New Roman"/>
          <w:b/>
          <w:bCs/>
          <w:i/>
          <w:iCs/>
          <w:sz w:val="24"/>
          <w:szCs w:val="24"/>
        </w:rPr>
        <w:t>notitia criminis</w:t>
      </w:r>
      <w:r w:rsidR="00E714E4">
        <w:rPr>
          <w:rFonts w:ascii="Times New Roman" w:hAnsi="Times New Roman"/>
          <w:b/>
          <w:bCs/>
          <w:sz w:val="24"/>
          <w:szCs w:val="24"/>
        </w:rPr>
        <w:t xml:space="preserve"> e </w:t>
      </w:r>
      <w:r w:rsidRPr="008C102C">
        <w:rPr>
          <w:rFonts w:ascii="Times New Roman" w:hAnsi="Times New Roman"/>
          <w:b/>
          <w:bCs/>
          <w:sz w:val="24"/>
          <w:szCs w:val="24"/>
        </w:rPr>
        <w:t>avvio del procedimento</w:t>
      </w:r>
    </w:p>
    <w:p w:rsidR="001C6C60" w:rsidRPr="00E714E4" w:rsidRDefault="001C6C60" w:rsidP="008C102C">
      <w:pPr>
        <w:pStyle w:val="DidefaultA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 xml:space="preserve">Il procedimento viene avviato a seguito dell’emergere di una </w:t>
      </w:r>
      <w:r w:rsidRPr="008C102C">
        <w:rPr>
          <w:rFonts w:ascii="Times New Roman" w:hAnsi="Times New Roman"/>
          <w:i/>
          <w:iCs/>
          <w:sz w:val="24"/>
          <w:szCs w:val="24"/>
        </w:rPr>
        <w:t>notitia criminis</w:t>
      </w:r>
      <w:r w:rsidRPr="008C102C">
        <w:rPr>
          <w:rFonts w:ascii="Times New Roman" w:hAnsi="Times New Roman"/>
          <w:sz w:val="24"/>
          <w:szCs w:val="24"/>
        </w:rPr>
        <w:t xml:space="preserve"> riguardante un confratello. La prima fase si articola in vari momenti ed atti conseguenti.</w:t>
      </w:r>
    </w:p>
    <w:p w:rsidR="001C6C60" w:rsidRPr="008C102C" w:rsidRDefault="001C6C60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 xml:space="preserve">1.1 La </w:t>
      </w:r>
      <w:r w:rsidRPr="008C102C">
        <w:rPr>
          <w:rFonts w:ascii="Times New Roman" w:hAnsi="Times New Roman"/>
          <w:i/>
          <w:iCs/>
          <w:sz w:val="24"/>
          <w:szCs w:val="24"/>
        </w:rPr>
        <w:t xml:space="preserve">notitia criminis: </w:t>
      </w:r>
      <w:r w:rsidRPr="008C102C">
        <w:rPr>
          <w:rFonts w:ascii="Times New Roman" w:hAnsi="Times New Roman"/>
          <w:sz w:val="24"/>
          <w:szCs w:val="24"/>
        </w:rPr>
        <w:t>modalità di emersione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1.2</w:t>
      </w:r>
      <w:r w:rsidRPr="008C10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C102C">
        <w:rPr>
          <w:rFonts w:ascii="Times New Roman" w:hAnsi="Times New Roman"/>
          <w:sz w:val="24"/>
          <w:szCs w:val="24"/>
        </w:rPr>
        <w:t>Prima valutazione sulla fondatezza della notizia e obbligo di avvio dell’indagine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1.3 Atti preparatori dell’indagine: nomina dell’Istruttore e del Notaio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1.4 Misure cautelari eventuali</w:t>
      </w:r>
    </w:p>
    <w:p w:rsidR="001C6C60" w:rsidRPr="008C102C" w:rsidRDefault="001C6C60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02C">
        <w:rPr>
          <w:rFonts w:ascii="Times New Roman" w:hAnsi="Times New Roman"/>
          <w:b/>
          <w:bCs/>
          <w:sz w:val="24"/>
          <w:szCs w:val="24"/>
        </w:rPr>
        <w:t>2. Seconda fase. L’indagine</w:t>
      </w:r>
    </w:p>
    <w:p w:rsidR="001C6C60" w:rsidRPr="008C102C" w:rsidRDefault="007B1BE9" w:rsidP="008C102C">
      <w:pPr>
        <w:pStyle w:val="CorpoA"/>
        <w:spacing w:before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 xml:space="preserve">In questa seconda fase, l’Istruttore assistito dal Notaio, raccoglie le informazioni necessarie per determinare se la </w:t>
      </w:r>
      <w:r w:rsidRPr="008C102C">
        <w:rPr>
          <w:rFonts w:ascii="Times New Roman" w:hAnsi="Times New Roman"/>
          <w:i/>
          <w:iCs/>
          <w:sz w:val="24"/>
          <w:szCs w:val="24"/>
        </w:rPr>
        <w:t>notizia criminis</w:t>
      </w:r>
      <w:r w:rsidRPr="008C102C">
        <w:rPr>
          <w:rFonts w:ascii="Times New Roman" w:hAnsi="Times New Roman"/>
          <w:sz w:val="24"/>
          <w:szCs w:val="24"/>
        </w:rPr>
        <w:t xml:space="preserve"> ha, o meno, un ragionevole fondamento. In particolare egli dovrà accertare i fatti, le circostanze, la imputabilità del confratello.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Sono previste diverse azioni.</w:t>
      </w:r>
    </w:p>
    <w:p w:rsidR="001C6C60" w:rsidRPr="008C102C" w:rsidRDefault="001C6C60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2.1 Convocazione e interrogatorio del denunciante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2.2. Convocazione e interrogatorio dei testimoni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2.3 Raccolta e verifica di altri elementi di prova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2.4 Convocazione e interrogatorio del confratello indagato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2.5 Relazione dell’Istruttore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  <w:lang w:val="es-ES_tradnl"/>
        </w:rPr>
        <w:t>2.6 Tempi dell’indagine</w:t>
      </w:r>
    </w:p>
    <w:p w:rsidR="001C6C60" w:rsidRPr="008C102C" w:rsidRDefault="001C6C60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102C">
        <w:rPr>
          <w:rFonts w:ascii="Times New Roman" w:hAnsi="Times New Roman"/>
          <w:b/>
          <w:bCs/>
          <w:sz w:val="24"/>
          <w:szCs w:val="24"/>
        </w:rPr>
        <w:t>3. Terza fase. La valutazione degli esiti dell’indagine</w:t>
      </w:r>
    </w:p>
    <w:p w:rsidR="001C6C60" w:rsidRPr="004E7A88" w:rsidRDefault="001C6C60" w:rsidP="008C102C">
      <w:pPr>
        <w:pStyle w:val="DidefaultA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Con la consegna degli atti dell’indagine e della sua relazione, l’Istruttore termina il suo compito, fatta salva la successiva richiesta di un supplemento di indagine. L’Ispettore</w:t>
      </w:r>
      <w:r w:rsidR="004E7A88">
        <w:rPr>
          <w:rFonts w:ascii="Times New Roman" w:hAnsi="Times New Roman"/>
          <w:sz w:val="24"/>
          <w:szCs w:val="24"/>
        </w:rPr>
        <w:t>,</w:t>
      </w:r>
      <w:r w:rsidRPr="008C102C">
        <w:rPr>
          <w:rFonts w:ascii="Times New Roman" w:hAnsi="Times New Roman"/>
          <w:sz w:val="24"/>
          <w:szCs w:val="24"/>
        </w:rPr>
        <w:t xml:space="preserve"> che resta sempre il responsabile del procedimento avviato</w:t>
      </w:r>
      <w:r w:rsidR="004E7A88">
        <w:rPr>
          <w:rFonts w:ascii="Times New Roman" w:hAnsi="Times New Roman"/>
          <w:sz w:val="24"/>
          <w:szCs w:val="24"/>
        </w:rPr>
        <w:t>,</w:t>
      </w:r>
      <w:r w:rsidRPr="008C102C">
        <w:rPr>
          <w:rFonts w:ascii="Times New Roman" w:hAnsi="Times New Roman"/>
          <w:sz w:val="24"/>
          <w:szCs w:val="24"/>
        </w:rPr>
        <w:t xml:space="preserve"> in questa terza fase ha un ruolo centrale, per gli atti che pone e le decisioni che assume.</w:t>
      </w:r>
    </w:p>
    <w:p w:rsidR="001C6C60" w:rsidRPr="008C102C" w:rsidRDefault="001C6C60" w:rsidP="008C102C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3.1 Studio e valutazione degli atti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3.2 Decreto di chiusura dell’indagine o richiesta di un supplemento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3.3 Esame delle conclusioni dell’indagine nel Consiglio Ispettoriale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 xml:space="preserve">3.4 Parere del Consiglio ispettoriale 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3.5 Decisione dell’Ispettore mediante decreto</w:t>
      </w:r>
    </w:p>
    <w:p w:rsidR="001C6C60" w:rsidRPr="008C102C" w:rsidRDefault="007B1BE9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02C">
        <w:rPr>
          <w:rFonts w:ascii="Times New Roman" w:hAnsi="Times New Roman"/>
          <w:sz w:val="24"/>
          <w:szCs w:val="24"/>
        </w:rPr>
        <w:t>3.6 Eventuale invio degli atti al Rettor Maggiore</w:t>
      </w:r>
    </w:p>
    <w:p w:rsidR="001C6C60" w:rsidRPr="008C102C" w:rsidRDefault="001C6C60" w:rsidP="008C102C">
      <w:pPr>
        <w:pStyle w:val="Didefaul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C60" w:rsidRPr="00BA2908" w:rsidRDefault="007B1BE9" w:rsidP="008C102C">
      <w:pPr>
        <w:pStyle w:val="DidefaultA"/>
        <w:jc w:val="both"/>
        <w:rPr>
          <w:color w:val="auto"/>
          <w:sz w:val="24"/>
          <w:szCs w:val="24"/>
        </w:rPr>
      </w:pPr>
      <w:r w:rsidRPr="00BA2908">
        <w:rPr>
          <w:rFonts w:ascii="Times New Roman" w:hAnsi="Times New Roman"/>
          <w:color w:val="auto"/>
          <w:sz w:val="24"/>
          <w:szCs w:val="24"/>
        </w:rPr>
        <w:t xml:space="preserve">Il </w:t>
      </w:r>
      <w:r w:rsidRPr="00BA2908">
        <w:rPr>
          <w:rFonts w:ascii="Times New Roman" w:hAnsi="Times New Roman"/>
          <w:iCs/>
          <w:color w:val="auto"/>
          <w:sz w:val="24"/>
          <w:szCs w:val="24"/>
        </w:rPr>
        <w:t>Vademecum</w:t>
      </w:r>
      <w:r w:rsidRPr="00BA2908">
        <w:rPr>
          <w:rFonts w:ascii="Times New Roman" w:hAnsi="Times New Roman"/>
          <w:color w:val="auto"/>
          <w:sz w:val="24"/>
          <w:szCs w:val="24"/>
        </w:rPr>
        <w:t xml:space="preserve"> ha poi una sezione dedicata ai </w:t>
      </w:r>
      <w:r w:rsidRPr="00BA2908">
        <w:rPr>
          <w:rFonts w:ascii="Times New Roman" w:hAnsi="Times New Roman"/>
          <w:i/>
          <w:iCs/>
          <w:color w:val="auto"/>
          <w:sz w:val="24"/>
          <w:szCs w:val="24"/>
        </w:rPr>
        <w:t>delicta graviora</w:t>
      </w:r>
      <w:r w:rsidRPr="00BA290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vertAlign w:val="superscript"/>
        </w:rPr>
        <w:footnoteReference w:id="3"/>
      </w:r>
      <w:r w:rsidRPr="00BA2908">
        <w:rPr>
          <w:rFonts w:ascii="Times New Roman" w:hAnsi="Times New Roman"/>
          <w:color w:val="auto"/>
          <w:sz w:val="24"/>
          <w:szCs w:val="24"/>
        </w:rPr>
        <w:t>, ed alle attenzioni specifiche da avere in ciascuna fase</w:t>
      </w:r>
      <w:r w:rsidR="00EB329F" w:rsidRPr="00BA2908">
        <w:rPr>
          <w:rFonts w:ascii="Times New Roman" w:hAnsi="Times New Roman"/>
          <w:color w:val="auto"/>
          <w:sz w:val="24"/>
          <w:szCs w:val="24"/>
        </w:rPr>
        <w:t>; in particolare subito deve essere avvisato il Vicario del Rettor Maggiore</w:t>
      </w:r>
      <w:r w:rsidRPr="00BA2908">
        <w:rPr>
          <w:rFonts w:ascii="Times New Roman" w:hAnsi="Times New Roman"/>
          <w:color w:val="auto"/>
          <w:sz w:val="24"/>
          <w:szCs w:val="24"/>
        </w:rPr>
        <w:t xml:space="preserve">. Il giudizio su tali </w:t>
      </w:r>
      <w:r w:rsidRPr="00BA2908">
        <w:rPr>
          <w:rFonts w:ascii="Times New Roman" w:hAnsi="Times New Roman"/>
          <w:i/>
          <w:iCs/>
          <w:color w:val="auto"/>
          <w:sz w:val="24"/>
          <w:szCs w:val="24"/>
        </w:rPr>
        <w:t>delicta</w:t>
      </w:r>
      <w:r w:rsidRPr="00BA2908">
        <w:rPr>
          <w:rFonts w:ascii="Times New Roman" w:hAnsi="Times New Roman"/>
          <w:color w:val="auto"/>
          <w:sz w:val="24"/>
          <w:szCs w:val="24"/>
        </w:rPr>
        <w:t xml:space="preserve"> è riservato </w:t>
      </w:r>
      <w:r w:rsidR="0022654C" w:rsidRPr="00BA2908">
        <w:rPr>
          <w:rFonts w:ascii="Times New Roman" w:hAnsi="Times New Roman"/>
          <w:color w:val="auto"/>
          <w:sz w:val="24"/>
          <w:szCs w:val="24"/>
        </w:rPr>
        <w:t xml:space="preserve">alla </w:t>
      </w:r>
      <w:r w:rsidRPr="00BA2908">
        <w:rPr>
          <w:rFonts w:ascii="Times New Roman" w:hAnsi="Times New Roman"/>
          <w:color w:val="auto"/>
          <w:sz w:val="24"/>
          <w:szCs w:val="24"/>
        </w:rPr>
        <w:t>Congregazione per la Dottrina della Fede. In questi casi, l</w:t>
      </w:r>
      <w:r w:rsidRPr="00BA2908">
        <w:rPr>
          <w:rFonts w:ascii="Times New Roman" w:hAnsi="Times New Roman"/>
          <w:color w:val="auto"/>
          <w:sz w:val="24"/>
          <w:szCs w:val="24"/>
          <w:lang w:val="fr-FR"/>
        </w:rPr>
        <w:t>’</w:t>
      </w:r>
      <w:r w:rsidRPr="00BA2908">
        <w:rPr>
          <w:rFonts w:ascii="Times New Roman" w:hAnsi="Times New Roman"/>
          <w:color w:val="auto"/>
          <w:sz w:val="24"/>
          <w:szCs w:val="24"/>
        </w:rPr>
        <w:t xml:space="preserve">Ispettore ed il Consiglio ispettoriale esprimono soltanto un parere, ma non infliggono alcuna pena. </w:t>
      </w:r>
      <w:r w:rsidRPr="00BA2908">
        <w:rPr>
          <w:rFonts w:ascii="Times New Roman" w:hAnsi="Times New Roman" w:cs="Times New Roman"/>
          <w:color w:val="auto"/>
          <w:sz w:val="24"/>
          <w:szCs w:val="24"/>
        </w:rPr>
        <w:t xml:space="preserve">Infatti, </w:t>
      </w:r>
      <w:r w:rsidR="0086514F" w:rsidRPr="00BA290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 a seguito dell’indagine le accuse risultano verosimili, </w:t>
      </w:r>
      <w:r w:rsidRPr="00BA2908">
        <w:rPr>
          <w:rFonts w:ascii="Times New Roman" w:hAnsi="Times New Roman" w:cs="Times New Roman"/>
          <w:color w:val="auto"/>
          <w:sz w:val="24"/>
          <w:szCs w:val="24"/>
        </w:rPr>
        <w:t>il caso deve essere trasmesso alla</w:t>
      </w:r>
      <w:r w:rsidRPr="00BA2908">
        <w:rPr>
          <w:rFonts w:ascii="Times New Roman" w:hAnsi="Times New Roman"/>
          <w:color w:val="auto"/>
          <w:sz w:val="24"/>
          <w:szCs w:val="24"/>
        </w:rPr>
        <w:t xml:space="preserve"> Congregazione per la Dottrina della Fede, tramite il Rettor Maggiore.</w:t>
      </w:r>
    </w:p>
    <w:sectPr w:rsidR="001C6C60" w:rsidRPr="00BA2908" w:rsidSect="001C6C60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06" w:rsidRDefault="004F2906" w:rsidP="001C6C60">
      <w:r>
        <w:separator/>
      </w:r>
    </w:p>
  </w:endnote>
  <w:endnote w:type="continuationSeparator" w:id="0">
    <w:p w:rsidR="004F2906" w:rsidRDefault="004F2906" w:rsidP="001C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06" w:rsidRDefault="004F2906">
      <w:r>
        <w:separator/>
      </w:r>
    </w:p>
  </w:footnote>
  <w:footnote w:type="continuationSeparator" w:id="0">
    <w:p w:rsidR="004F2906" w:rsidRDefault="004F2906">
      <w:r>
        <w:continuationSeparator/>
      </w:r>
    </w:p>
  </w:footnote>
  <w:footnote w:type="continuationNotice" w:id="1">
    <w:p w:rsidR="004F2906" w:rsidRDefault="004F2906"/>
  </w:footnote>
  <w:footnote w:id="2">
    <w:p w:rsidR="001C6C60" w:rsidRPr="004E7A88" w:rsidRDefault="007B1BE9" w:rsidP="004E7A88">
      <w:pPr>
        <w:pStyle w:val="Notaapidipagina"/>
        <w:jc w:val="both"/>
        <w:rPr>
          <w:sz w:val="20"/>
          <w:szCs w:val="20"/>
        </w:rPr>
      </w:pPr>
      <w:r w:rsidRPr="004E7A88"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vertAlign w:val="superscript"/>
        </w:rPr>
        <w:footnoteRef/>
      </w:r>
      <w:r w:rsidRPr="004E7A88">
        <w:rPr>
          <w:rFonts w:ascii="Times New Roman" w:hAnsi="Times New Roman"/>
          <w:sz w:val="20"/>
          <w:szCs w:val="20"/>
          <w:u w:color="000000"/>
        </w:rPr>
        <w:t xml:space="preserve"> In base al can. 1321 §1 CIC, con il termine delitto si intende la violazione esterna di una legge canonica</w:t>
      </w:r>
      <w:r w:rsidRPr="004E7A88">
        <w:rPr>
          <w:rFonts w:ascii="Times New Roman" w:hAnsi="Times New Roman"/>
          <w:sz w:val="20"/>
          <w:szCs w:val="20"/>
          <w:u w:color="000000"/>
          <w:lang w:val="pt-PT"/>
        </w:rPr>
        <w:t xml:space="preserve"> o d</w:t>
      </w:r>
      <w:r w:rsidR="004E7A88" w:rsidRPr="004E7A88">
        <w:rPr>
          <w:rFonts w:ascii="Times New Roman" w:hAnsi="Times New Roman"/>
          <w:sz w:val="20"/>
          <w:szCs w:val="20"/>
          <w:u w:color="000000"/>
        </w:rPr>
        <w:t>i un precetto per i quali è prevista una pena</w:t>
      </w:r>
      <w:r w:rsidRPr="004E7A88">
        <w:rPr>
          <w:rFonts w:ascii="Times New Roman" w:hAnsi="Times New Roman"/>
          <w:sz w:val="20"/>
          <w:szCs w:val="20"/>
          <w:u w:color="000000"/>
        </w:rPr>
        <w:t>, gravemente imputabile per dolo o per colpa.</w:t>
      </w:r>
      <w:r w:rsidR="004E7A88" w:rsidRPr="004E7A88">
        <w:rPr>
          <w:rFonts w:ascii="Times New Roman" w:hAnsi="Times New Roman"/>
          <w:sz w:val="20"/>
          <w:szCs w:val="20"/>
          <w:u w:color="000000"/>
        </w:rPr>
        <w:t xml:space="preserve"> </w:t>
      </w:r>
      <w:r w:rsidRPr="004E7A88">
        <w:rPr>
          <w:rFonts w:ascii="Times New Roman" w:hAnsi="Times New Roman"/>
          <w:sz w:val="20"/>
          <w:szCs w:val="20"/>
        </w:rPr>
        <w:t>Il Codice di Diritto Canonico, nella seconda parte del Libro VI individua, in 35 canoni, le condotte considerate delittuose e le relative sanzioni penali</w:t>
      </w:r>
      <w:r w:rsidR="004E7A88">
        <w:rPr>
          <w:rFonts w:ascii="Times New Roman" w:hAnsi="Times New Roman"/>
          <w:sz w:val="20"/>
          <w:szCs w:val="20"/>
        </w:rPr>
        <w:t>:</w:t>
      </w:r>
      <w:r w:rsidRPr="004E7A88">
        <w:rPr>
          <w:rFonts w:ascii="Times New Roman" w:hAnsi="Times New Roman"/>
          <w:sz w:val="20"/>
          <w:szCs w:val="20"/>
        </w:rPr>
        <w:t xml:space="preserve"> cann. 1364-1398.</w:t>
      </w:r>
      <w:r w:rsidR="004E7A88" w:rsidRPr="004E7A88">
        <w:rPr>
          <w:rFonts w:ascii="Times New Roman" w:hAnsi="Times New Roman"/>
          <w:sz w:val="20"/>
          <w:szCs w:val="20"/>
        </w:rPr>
        <w:t xml:space="preserve"> </w:t>
      </w:r>
      <w:r w:rsidRPr="004E7A88">
        <w:rPr>
          <w:rFonts w:ascii="Times New Roman" w:hAnsi="Times New Roman"/>
          <w:sz w:val="20"/>
          <w:szCs w:val="20"/>
        </w:rPr>
        <w:t>Va anche tenuta presente la Norma generale del can. 1399, in base alla quale anche la violazione di una legge divina o canonica non munita di pena può essere punita con giusta pena, ma “solo quando la speciale gravità della violazione esige una punizione e urge la necessità di prevenire o riparare gli scandali”.</w:t>
      </w:r>
    </w:p>
  </w:footnote>
  <w:footnote w:id="3">
    <w:p w:rsidR="001C6C60" w:rsidRPr="004E7A88" w:rsidRDefault="007B1BE9" w:rsidP="008C102C">
      <w:pPr>
        <w:pStyle w:val="NotaapidipaginaA"/>
        <w:jc w:val="both"/>
        <w:rPr>
          <w:sz w:val="20"/>
          <w:szCs w:val="20"/>
        </w:rPr>
      </w:pPr>
      <w:r w:rsidRPr="004E7A88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footnoteRef/>
      </w:r>
      <w:r w:rsidRPr="004E7A88">
        <w:rPr>
          <w:rFonts w:ascii="Times New Roman" w:hAnsi="Times New Roman"/>
          <w:sz w:val="20"/>
          <w:szCs w:val="20"/>
        </w:rPr>
        <w:t xml:space="preserve"> I </w:t>
      </w:r>
      <w:r w:rsidRPr="004E7A88">
        <w:rPr>
          <w:rFonts w:ascii="Times New Roman" w:hAnsi="Times New Roman"/>
          <w:i/>
          <w:iCs/>
          <w:sz w:val="20"/>
          <w:szCs w:val="20"/>
        </w:rPr>
        <w:t>delicta graviora</w:t>
      </w:r>
      <w:r w:rsidRPr="004E7A88">
        <w:rPr>
          <w:rFonts w:ascii="Times New Roman" w:hAnsi="Times New Roman"/>
          <w:sz w:val="20"/>
          <w:szCs w:val="20"/>
        </w:rPr>
        <w:t xml:space="preserve"> sono i delitti più gravi commessi contro i costumi. Essi sono compresi tra i </w:t>
      </w:r>
      <w:r w:rsidRPr="004E7A88">
        <w:rPr>
          <w:rFonts w:ascii="Times New Roman" w:hAnsi="Times New Roman"/>
          <w:i/>
          <w:iCs/>
          <w:sz w:val="20"/>
          <w:szCs w:val="20"/>
        </w:rPr>
        <w:t>delicta reservata</w:t>
      </w:r>
      <w:r w:rsidRPr="004E7A88">
        <w:rPr>
          <w:rFonts w:ascii="Times New Roman" w:hAnsi="Times New Roman"/>
          <w:sz w:val="20"/>
          <w:szCs w:val="20"/>
        </w:rPr>
        <w:t xml:space="preserve"> indicati dagli articoli 1-6 delle </w:t>
      </w:r>
      <w:r w:rsidRPr="004E7A88">
        <w:rPr>
          <w:rFonts w:ascii="Times New Roman" w:hAnsi="Times New Roman"/>
          <w:i/>
          <w:iCs/>
          <w:sz w:val="20"/>
          <w:szCs w:val="20"/>
        </w:rPr>
        <w:t xml:space="preserve">Normae de delictis Congregationi pro Doctrina Fidei reservatis </w:t>
      </w:r>
      <w:r w:rsidRPr="004E7A88">
        <w:rPr>
          <w:rFonts w:ascii="Times New Roman" w:hAnsi="Times New Roman"/>
          <w:sz w:val="20"/>
          <w:szCs w:val="20"/>
        </w:rPr>
        <w:t>emanate dalla Congregazione per la Dottrina della Fede il 21 maggio 2010.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1C6C60"/>
    <w:rsid w:val="001A64AA"/>
    <w:rsid w:val="001C6C60"/>
    <w:rsid w:val="0022654C"/>
    <w:rsid w:val="003475D7"/>
    <w:rsid w:val="003A42F1"/>
    <w:rsid w:val="004550B0"/>
    <w:rsid w:val="004760A1"/>
    <w:rsid w:val="004A4DB3"/>
    <w:rsid w:val="004E7A88"/>
    <w:rsid w:val="004F2906"/>
    <w:rsid w:val="007B1BE9"/>
    <w:rsid w:val="0086514F"/>
    <w:rsid w:val="008C102C"/>
    <w:rsid w:val="008C2A29"/>
    <w:rsid w:val="00926B63"/>
    <w:rsid w:val="00BA2908"/>
    <w:rsid w:val="00C914D1"/>
    <w:rsid w:val="00DB1130"/>
    <w:rsid w:val="00E714E4"/>
    <w:rsid w:val="00EB329F"/>
    <w:rsid w:val="00ED506B"/>
    <w:rsid w:val="00E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C6C60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C6C60"/>
    <w:rPr>
      <w:u w:val="single"/>
    </w:rPr>
  </w:style>
  <w:style w:type="table" w:customStyle="1" w:styleId="TableNormal">
    <w:name w:val="Table Normal"/>
    <w:rsid w:val="001C6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C6C6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1C6C60"/>
    <w:rPr>
      <w:rFonts w:ascii="Helvetica" w:hAnsi="Helvetica" w:cs="Arial Unicode MS"/>
      <w:color w:val="000000"/>
      <w:sz w:val="22"/>
      <w:szCs w:val="22"/>
    </w:rPr>
  </w:style>
  <w:style w:type="paragraph" w:customStyle="1" w:styleId="Notaapidipagina">
    <w:name w:val="Nota a piè di pagina"/>
    <w:rsid w:val="001C6C60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CorpoA">
    <w:name w:val="Corpo A"/>
    <w:rsid w:val="001C6C60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sid w:val="001C6C60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NotaapidipaginaA">
    <w:name w:val="Nota a piè di pagina A"/>
    <w:rsid w:val="001C6C60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Mwandha</dc:creator>
  <cp:lastModifiedBy>fcereda</cp:lastModifiedBy>
  <cp:revision>3</cp:revision>
  <dcterms:created xsi:type="dcterms:W3CDTF">2017-06-01T17:14:00Z</dcterms:created>
  <dcterms:modified xsi:type="dcterms:W3CDTF">2017-06-01T18:47:00Z</dcterms:modified>
</cp:coreProperties>
</file>